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before="400" w:after="120"/>
        <w:jc w:val="both"/>
        <w:rPr/>
      </w:pPr>
      <w:bookmarkStart w:id="0" w:name="_2icwwe2l1r4o"/>
      <w:bookmarkEnd w:id="0"/>
      <w:r>
        <w:rPr/>
        <w:t>DIRECTIVE INTERNE DU CABINET</w:t>
      </w:r>
    </w:p>
    <w:p>
      <w:pPr>
        <w:pStyle w:val="normal1"/>
        <w:jc w:val="both"/>
        <w:rPr/>
      </w:pPr>
      <w:r>
        <w:rPr/>
      </w:r>
    </w:p>
    <w:p>
      <w:pPr>
        <w:pStyle w:val="Heading2"/>
        <w:jc w:val="both"/>
        <w:rPr/>
      </w:pPr>
      <w:bookmarkStart w:id="1" w:name="_dxg7au6akpng"/>
      <w:bookmarkEnd w:id="1"/>
      <w:r>
        <w:rPr/>
        <w:t>Gestion des Accès Informatiques &amp; Cycle de Vie du Personnel</w:t>
      </w:r>
    </w:p>
    <w:p>
      <w:pPr>
        <w:pStyle w:val="BodyText"/>
        <w:rPr>
          <w:b w:val="false"/>
          <w:bCs w:val="false"/>
          <w:i w:val="false"/>
          <w:iCs w:val="false"/>
          <w:sz w:val="28"/>
          <w:szCs w:val="28"/>
        </w:rPr>
      </w:pPr>
      <w:r>
        <w:rPr>
          <w:b w:val="false"/>
          <w:bCs w:val="false"/>
          <w:i w:val="false"/>
          <w:iCs w:val="false"/>
          <w:sz w:val="28"/>
          <w:szCs w:val="28"/>
        </w:rPr>
        <w:t>Référence de Conformité : Art. 8 LPD / Standards Nationaux NCSC 5.1.2</w:t>
      </w:r>
    </w:p>
    <w:p>
      <w:pPr>
        <w:pStyle w:val="normal1"/>
        <w:jc w:val="both"/>
        <w:rPr/>
      </w:pPr>
      <w:r>
        <w:rPr/>
      </w:r>
    </w:p>
    <w:p>
      <w:pPr>
        <w:pStyle w:val="Heading3"/>
        <w:jc w:val="both"/>
        <w:rPr>
          <w:b/>
          <w:bCs/>
        </w:rPr>
      </w:pPr>
      <w:bookmarkStart w:id="2" w:name="_6dz3xnj7gisk"/>
      <w:bookmarkEnd w:id="2"/>
      <w:r>
        <w:rPr>
          <w:b/>
          <w:bCs/>
        </w:rPr>
        <w:t>1. Processus d’Onboarding (Arrivée d'un nouveau collaborateur)</w:t>
      </w:r>
    </w:p>
    <w:p>
      <w:pPr>
        <w:pStyle w:val="normal1"/>
        <w:jc w:val="both"/>
        <w:rPr/>
      </w:pPr>
      <w:r>
        <w:rPr/>
      </w:r>
    </w:p>
    <w:p>
      <w:pPr>
        <w:pStyle w:val="normal1"/>
        <w:jc w:val="both"/>
        <w:rPr>
          <w:sz w:val="24"/>
          <w:szCs w:val="24"/>
        </w:rPr>
      </w:pPr>
      <w:r>
        <w:rPr>
          <w:sz w:val="24"/>
          <w:szCs w:val="24"/>
        </w:rPr>
        <w:t>Chaque nouveau membre de l'équipe (Assistant·e médical·e, médecin, stagiaire) doit suivre le protocole obligatoire suivant avant d'accéder aux données des patients :</w:t>
      </w:r>
    </w:p>
    <w:p>
      <w:pPr>
        <w:pStyle w:val="normal1"/>
        <w:jc w:val="both"/>
        <w:rPr>
          <w:sz w:val="24"/>
          <w:szCs w:val="24"/>
        </w:rPr>
      </w:pPr>
      <w:r>
        <w:rPr>
          <w:sz w:val="24"/>
          <w:szCs w:val="24"/>
        </w:rPr>
      </w:r>
    </w:p>
    <w:p>
      <w:pPr>
        <w:pStyle w:val="normal1"/>
        <w:numPr>
          <w:ilvl w:val="0"/>
          <w:numId w:val="2"/>
        </w:numPr>
        <w:ind w:hanging="360" w:start="720"/>
        <w:jc w:val="both"/>
        <w:rPr>
          <w:sz w:val="24"/>
          <w:szCs w:val="24"/>
        </w:rPr>
      </w:pPr>
      <w:r>
        <w:rPr>
          <w:b/>
          <w:bCs/>
          <w:sz w:val="24"/>
          <w:szCs w:val="24"/>
        </w:rPr>
        <w:t>Identifiant Nominatif Unique :</w:t>
      </w:r>
      <w:r>
        <w:rPr>
          <w:sz w:val="24"/>
          <w:szCs w:val="24"/>
        </w:rPr>
        <w:t xml:space="preserve"> La création d'un accès de connexion unique, personnel et nominatif (ex: prenom.nom) pour le logiciel de gestion de cabinet est obligatoire sous 24 heures avant l'entrée en fonction. L'utilisation de comptes partagés ou de profils génériques (ex: reception@ ou info@) pour documenter des actes médicaux est strictement interdite.</w:t>
      </w:r>
    </w:p>
    <w:p>
      <w:pPr>
        <w:pStyle w:val="normal1"/>
        <w:ind w:hanging="0" w:start="720"/>
        <w:jc w:val="both"/>
        <w:rPr>
          <w:sz w:val="24"/>
          <w:szCs w:val="24"/>
        </w:rPr>
      </w:pPr>
      <w:r>
        <w:rPr>
          <w:sz w:val="24"/>
          <w:szCs w:val="24"/>
        </w:rPr>
      </w:r>
    </w:p>
    <w:p>
      <w:pPr>
        <w:pStyle w:val="normal1"/>
        <w:numPr>
          <w:ilvl w:val="0"/>
          <w:numId w:val="2"/>
        </w:numPr>
        <w:ind w:hanging="360" w:start="720"/>
        <w:jc w:val="both"/>
        <w:rPr>
          <w:sz w:val="24"/>
          <w:szCs w:val="24"/>
        </w:rPr>
      </w:pPr>
      <w:r>
        <w:rPr>
          <w:b/>
          <w:bCs/>
          <w:sz w:val="24"/>
          <w:szCs w:val="24"/>
        </w:rPr>
        <w:t>Gestionnaire de Mots de Passe :</w:t>
      </w:r>
      <w:r>
        <w:rPr>
          <w:sz w:val="24"/>
          <w:szCs w:val="24"/>
        </w:rPr>
        <w:t xml:space="preserve"> Le collaborateur doit être formé à l'utilisation du gestionnaire de mots de passe centralisé du cabinet pour stocker ses clés d'accès techniques de manière cryptée.</w:t>
      </w:r>
    </w:p>
    <w:p>
      <w:pPr>
        <w:pStyle w:val="normal1"/>
        <w:ind w:hanging="0" w:start="720"/>
        <w:jc w:val="both"/>
        <w:rPr>
          <w:sz w:val="24"/>
          <w:szCs w:val="24"/>
        </w:rPr>
      </w:pPr>
      <w:r>
        <w:rPr>
          <w:sz w:val="24"/>
          <w:szCs w:val="24"/>
        </w:rPr>
      </w:r>
    </w:p>
    <w:p>
      <w:pPr>
        <w:pStyle w:val="normal1"/>
        <w:numPr>
          <w:ilvl w:val="0"/>
          <w:numId w:val="2"/>
        </w:numPr>
        <w:ind w:hanging="360" w:start="720"/>
        <w:jc w:val="both"/>
        <w:rPr>
          <w:sz w:val="24"/>
          <w:szCs w:val="24"/>
        </w:rPr>
      </w:pPr>
      <w:r>
        <w:rPr>
          <w:b/>
          <w:bCs/>
          <w:sz w:val="24"/>
          <w:szCs w:val="24"/>
        </w:rPr>
        <w:t>Engagement de Confidentialité</w:t>
      </w:r>
      <w:r>
        <w:rPr>
          <w:sz w:val="24"/>
          <w:szCs w:val="24"/>
        </w:rPr>
        <w:t xml:space="preserve"> </w:t>
      </w:r>
      <w:r>
        <w:rPr>
          <w:b/>
          <w:bCs/>
          <w:sz w:val="24"/>
          <w:szCs w:val="24"/>
        </w:rPr>
        <w:t>:</w:t>
      </w:r>
      <w:r>
        <w:rPr>
          <w:sz w:val="24"/>
          <w:szCs w:val="24"/>
        </w:rPr>
        <w:t xml:space="preserve"> Signature conjointe de la clause de confidentialité spécifique à la LPD annexée au contrat de travail avant la remise des accès physiques et numériques.</w:t>
      </w:r>
    </w:p>
    <w:p>
      <w:pPr>
        <w:pStyle w:val="normal1"/>
        <w:jc w:val="both"/>
        <w:rPr/>
      </w:pPr>
      <w:r>
        <w:rPr/>
      </w:r>
    </w:p>
    <w:p>
      <w:pPr>
        <w:pStyle w:val="Heading3"/>
        <w:rPr/>
      </w:pPr>
      <w:r>
        <w:rPr/>
        <w:t>CLAUSE JURIDIQUE À COPIER-COLLER (Annexe obligatoire au contrat de travail)</w:t>
      </w:r>
    </w:p>
    <w:p>
      <w:pPr>
        <w:pStyle w:val="normal1"/>
        <w:jc w:val="both"/>
        <w:rPr>
          <w:rFonts w:ascii="Google Sans;sans-serif" w:hAnsi="Google Sans;sans-serif"/>
          <w:color w:val="auto"/>
          <w:sz w:val="22"/>
          <w:szCs w:val="22"/>
        </w:rPr>
      </w:pPr>
      <w:r>
        <w:rPr>
          <w:rFonts w:ascii="Google Sans;sans-serif" w:hAnsi="Google Sans;sans-serif"/>
          <w:color w:val="auto"/>
          <w:sz w:val="22"/>
          <w:szCs w:val="22"/>
        </w:rPr>
      </w:r>
    </w:p>
    <w:p>
      <w:pPr>
        <w:pStyle w:val="BodyText"/>
        <w:suppressAutoHyphens w:val="true"/>
        <w:spacing w:lineRule="auto" w:line="274" w:before="0" w:after="140"/>
        <w:ind w:hanging="0" w:start="0" w:end="0"/>
        <w:jc w:val="both"/>
        <w:rPr>
          <w:rFonts w:ascii="Arial" w:hAnsi="Arial"/>
          <w:b/>
          <w:sz w:val="24"/>
          <w:szCs w:val="24"/>
        </w:rPr>
      </w:pPr>
      <w:r>
        <w:rPr>
          <w:b/>
          <w:sz w:val="24"/>
          <w:szCs w:val="24"/>
        </w:rPr>
        <w:t>ANNEXE : ENGAGEMENT STRICT AU SECRET PROFESSIONNEL MÉDICAL (ART. 321 CP) ET À LA PROTECTION DES DONNÉES (nLPD)</w:t>
      </w:r>
    </w:p>
    <w:p>
      <w:pPr>
        <w:pStyle w:val="BodyText"/>
        <w:suppressAutoHyphens w:val="true"/>
        <w:spacing w:lineRule="auto" w:line="274" w:before="0" w:after="140"/>
        <w:ind w:hanging="0" w:start="0" w:end="0"/>
        <w:jc w:val="both"/>
        <w:rPr>
          <w:rFonts w:ascii="Arial" w:hAnsi="Arial"/>
          <w:sz w:val="24"/>
          <w:szCs w:val="24"/>
        </w:rPr>
      </w:pPr>
      <w:r>
        <w:rPr>
          <w:sz w:val="24"/>
          <w:szCs w:val="24"/>
        </w:rPr>
        <w:t xml:space="preserve">Entre la direction du cabinet et le collaborateur soussigné, il est d'un commun accord convenu ce qui suit : </w:t>
      </w:r>
    </w:p>
    <w:p>
      <w:pPr>
        <w:pStyle w:val="BodyText"/>
        <w:numPr>
          <w:ilvl w:val="0"/>
          <w:numId w:val="5"/>
        </w:numPr>
        <w:tabs>
          <w:tab w:val="clear" w:pos="720"/>
          <w:tab w:val="left" w:pos="0" w:leader="none"/>
        </w:tabs>
        <w:suppressAutoHyphens w:val="true"/>
        <w:spacing w:lineRule="auto" w:line="274" w:before="0" w:after="140"/>
        <w:ind w:hanging="283" w:start="709" w:end="0"/>
        <w:jc w:val="both"/>
        <w:rPr>
          <w:rFonts w:ascii="Arial" w:hAnsi="Arial"/>
          <w:sz w:val="24"/>
          <w:szCs w:val="24"/>
        </w:rPr>
      </w:pPr>
      <w:r>
        <w:rPr>
          <w:b/>
          <w:sz w:val="24"/>
          <w:szCs w:val="24"/>
        </w:rPr>
        <w:t>Portée du Secret :</w:t>
      </w:r>
      <w:r>
        <w:rPr>
          <w:sz w:val="24"/>
          <w:szCs w:val="24"/>
        </w:rPr>
        <w:t xml:space="preserve"> Le collaborateur reconnaît être formellement soumis au Secret Professionnel Médical au sens de l'Article 321 du Code Pénal Suisse (CP). Ce secret couvre l'intégralité des informations, faits, diagnostics ou simples confirmations de présence dont il a connaissance dans l'exercice de ses fonctions au sein du cabinet. </w:t>
      </w:r>
    </w:p>
    <w:p>
      <w:pPr>
        <w:pStyle w:val="BodyText"/>
        <w:numPr>
          <w:ilvl w:val="0"/>
          <w:numId w:val="5"/>
        </w:numPr>
        <w:tabs>
          <w:tab w:val="clear" w:pos="720"/>
          <w:tab w:val="left" w:pos="0" w:leader="none"/>
        </w:tabs>
        <w:suppressAutoHyphens w:val="true"/>
        <w:spacing w:lineRule="auto" w:line="274" w:before="0" w:after="140"/>
        <w:ind w:hanging="283" w:start="709" w:end="0"/>
        <w:jc w:val="both"/>
        <w:rPr>
          <w:rFonts w:ascii="Arial" w:hAnsi="Arial"/>
          <w:sz w:val="24"/>
          <w:szCs w:val="24"/>
        </w:rPr>
      </w:pPr>
      <w:r>
        <w:rPr>
          <w:b/>
          <w:sz w:val="24"/>
          <w:szCs w:val="24"/>
        </w:rPr>
        <w:t>Utilisation des Accès Numériques :</w:t>
      </w:r>
      <w:r>
        <w:rPr>
          <w:sz w:val="24"/>
          <w:szCs w:val="24"/>
        </w:rPr>
        <w:t xml:space="preserve"> Les identifiants et mots de passe fournis au collaborateur sont strictement personnels et confidentiels. Le partage de session ou l'accès aux dossiers patients en dehors des nécessités directes du cahier des charges est interdit. </w:t>
      </w:r>
    </w:p>
    <w:p>
      <w:pPr>
        <w:pStyle w:val="BodyText"/>
        <w:numPr>
          <w:ilvl w:val="0"/>
          <w:numId w:val="5"/>
        </w:numPr>
        <w:tabs>
          <w:tab w:val="clear" w:pos="720"/>
          <w:tab w:val="left" w:pos="0" w:leader="none"/>
        </w:tabs>
        <w:suppressAutoHyphens w:val="true"/>
        <w:spacing w:lineRule="auto" w:line="274" w:before="0" w:after="140"/>
        <w:ind w:hanging="283" w:start="709" w:end="0"/>
        <w:jc w:val="both"/>
        <w:rPr>
          <w:rFonts w:ascii="Arial" w:hAnsi="Arial"/>
          <w:sz w:val="24"/>
          <w:szCs w:val="24"/>
        </w:rPr>
      </w:pPr>
      <w:r>
        <w:rPr>
          <w:b/>
          <w:sz w:val="24"/>
          <w:szCs w:val="24"/>
        </w:rPr>
        <w:t>Pénalités et Sanctions :</w:t>
      </w:r>
      <w:r>
        <w:rPr>
          <w:sz w:val="24"/>
          <w:szCs w:val="24"/>
        </w:rPr>
        <w:t xml:space="preserve"> Toute violation volontaire ou par négligence grave des obligations de confidentialité ou des protocoles de sécurité informatique expose le collaborateur à une résiliation immédiate du contrat pour juste motif, sans préjudice des sanctions pénales prévues par l'Art. 321 CP (peine privative de liberté pouvant aller jusqu'à trois ans) et des amendes administratives de la nLPD. </w:t>
      </w:r>
    </w:p>
    <w:p>
      <w:pPr>
        <w:pStyle w:val="normal1"/>
        <w:rPr/>
      </w:pPr>
      <w:r>
        <w:rPr/>
      </w:r>
    </w:p>
    <w:p>
      <w:pPr>
        <w:pStyle w:val="Heading2"/>
        <w:spacing w:lineRule="auto" w:line="274" w:before="0" w:after="140"/>
        <w:ind w:hanging="0" w:start="0" w:end="0"/>
        <w:jc w:val="both"/>
        <w:rPr>
          <w:b/>
          <w:bCs/>
        </w:rPr>
      </w:pPr>
      <w:r>
        <w:rPr>
          <w:b/>
          <w:bCs/>
          <w:sz w:val="24"/>
          <w:szCs w:val="24"/>
        </w:rPr>
        <w:t xml:space="preserve">Fait à : ______________________ Le : ______________ </w:t>
      </w:r>
    </w:p>
    <w:p>
      <w:pPr>
        <w:pStyle w:val="Heading2"/>
        <w:spacing w:lineRule="auto" w:line="274" w:before="0" w:after="140"/>
        <w:ind w:hanging="0" w:start="0" w:end="0"/>
        <w:jc w:val="both"/>
        <w:rPr>
          <w:b/>
          <w:bCs/>
        </w:rPr>
      </w:pPr>
      <w:r>
        <w:rPr>
          <w:b/>
          <w:bCs/>
          <w:sz w:val="24"/>
          <w:szCs w:val="24"/>
        </w:rPr>
        <w:t xml:space="preserve">Signature du titulaire du cabinet : ___________ </w:t>
      </w:r>
    </w:p>
    <w:p>
      <w:pPr>
        <w:pStyle w:val="Heading2"/>
        <w:spacing w:lineRule="auto" w:line="274" w:before="0" w:after="140"/>
        <w:ind w:hanging="0" w:start="0" w:end="0"/>
        <w:jc w:val="both"/>
        <w:rPr>
          <w:b/>
          <w:bCs/>
        </w:rPr>
      </w:pPr>
      <w:r>
        <w:rPr>
          <w:b/>
          <w:bCs/>
          <w:sz w:val="24"/>
          <w:szCs w:val="24"/>
        </w:rPr>
        <w:t>Signature du collaborateur : ___________</w:t>
      </w:r>
    </w:p>
    <w:p>
      <w:pPr>
        <w:pStyle w:val="normal1"/>
        <w:jc w:val="both"/>
        <w:rPr>
          <w:b w:val="false"/>
          <w:bCs w:val="false"/>
        </w:rPr>
      </w:pPr>
      <w:r>
        <w:rPr>
          <w:b w:val="false"/>
          <w:bCs w:val="false"/>
        </w:rPr>
      </w:r>
    </w:p>
    <w:p>
      <w:pPr>
        <w:pStyle w:val="normal1"/>
        <w:jc w:val="both"/>
        <w:rPr/>
      </w:pPr>
      <w:r>
        <w:rPr/>
      </w:r>
    </w:p>
    <w:p>
      <w:pPr>
        <w:pStyle w:val="Heading3"/>
        <w:jc w:val="both"/>
        <w:rPr>
          <w:b/>
          <w:bCs/>
        </w:rPr>
      </w:pPr>
      <w:bookmarkStart w:id="3" w:name="_ez5pybsgaayt"/>
      <w:bookmarkEnd w:id="3"/>
      <w:r>
        <w:rPr>
          <w:b/>
          <w:bCs/>
        </w:rPr>
        <w:t>2. Processus d’Offboarding (Départ d'un collaborateur)</w:t>
      </w:r>
    </w:p>
    <w:p>
      <w:pPr>
        <w:pStyle w:val="normal1"/>
        <w:jc w:val="both"/>
        <w:rPr/>
      </w:pPr>
      <w:r>
        <w:rPr/>
      </w:r>
    </w:p>
    <w:p>
      <w:pPr>
        <w:pStyle w:val="normal1"/>
        <w:jc w:val="both"/>
        <w:rPr>
          <w:sz w:val="24"/>
          <w:szCs w:val="24"/>
        </w:rPr>
      </w:pPr>
      <w:r>
        <w:rPr>
          <w:sz w:val="24"/>
          <w:szCs w:val="24"/>
        </w:rPr>
        <w:t>Afin d'éviter toute faille de sécurité ou accès résiduel non autorisé aux dossiers médicaux, les mesures suivantes doivent être exécutées immédiatement lors du départ d'un employé :</w:t>
      </w:r>
    </w:p>
    <w:p>
      <w:pPr>
        <w:pStyle w:val="normal1"/>
        <w:jc w:val="both"/>
        <w:rPr>
          <w:sz w:val="24"/>
          <w:szCs w:val="24"/>
        </w:rPr>
      </w:pPr>
      <w:r>
        <w:rPr>
          <w:sz w:val="24"/>
          <w:szCs w:val="24"/>
        </w:rPr>
      </w:r>
    </w:p>
    <w:p>
      <w:pPr>
        <w:pStyle w:val="normal1"/>
        <w:numPr>
          <w:ilvl w:val="0"/>
          <w:numId w:val="4"/>
        </w:numPr>
        <w:ind w:hanging="360" w:start="720"/>
        <w:jc w:val="both"/>
        <w:rPr>
          <w:sz w:val="24"/>
          <w:szCs w:val="24"/>
        </w:rPr>
      </w:pPr>
      <w:r>
        <w:rPr>
          <w:b/>
          <w:bCs/>
          <w:sz w:val="24"/>
          <w:szCs w:val="24"/>
        </w:rPr>
        <w:t>Révocation Immédiate :</w:t>
      </w:r>
      <w:r>
        <w:rPr>
          <w:sz w:val="24"/>
          <w:szCs w:val="24"/>
        </w:rPr>
        <w:t xml:space="preserve"> Le gestionnaire du cabinet ou le responsable technique informatique doit révoquer l'intégralité des privilèges d'accès numériques de l'employé dans un délai maximum de 2 heures suivant sa fin d'activité effective.</w:t>
      </w:r>
    </w:p>
    <w:p>
      <w:pPr>
        <w:pStyle w:val="normal1"/>
        <w:jc w:val="both"/>
        <w:rPr>
          <w:sz w:val="24"/>
          <w:szCs w:val="24"/>
        </w:rPr>
      </w:pPr>
      <w:r>
        <w:rPr>
          <w:sz w:val="24"/>
          <w:szCs w:val="24"/>
        </w:rPr>
      </w:r>
    </w:p>
    <w:p>
      <w:pPr>
        <w:pStyle w:val="normal1"/>
        <w:jc w:val="both"/>
        <w:rPr>
          <w:sz w:val="24"/>
          <w:szCs w:val="24"/>
        </w:rPr>
      </w:pPr>
      <w:r>
        <w:rPr>
          <w:sz w:val="24"/>
          <w:szCs w:val="24"/>
        </w:rPr>
      </w:r>
    </w:p>
    <w:p>
      <w:pPr>
        <w:pStyle w:val="normal1"/>
        <w:numPr>
          <w:ilvl w:val="0"/>
          <w:numId w:val="1"/>
        </w:numPr>
        <w:ind w:hanging="360" w:start="720"/>
        <w:jc w:val="both"/>
        <w:rPr>
          <w:sz w:val="24"/>
          <w:szCs w:val="24"/>
        </w:rPr>
      </w:pPr>
      <w:r>
        <w:rPr>
          <w:b/>
          <w:bCs/>
          <w:sz w:val="24"/>
          <w:szCs w:val="24"/>
        </w:rPr>
        <w:t>Périmètre de Révocation :</w:t>
      </w:r>
    </w:p>
    <w:p>
      <w:pPr>
        <w:pStyle w:val="normal1"/>
        <w:jc w:val="both"/>
        <w:rPr>
          <w:sz w:val="24"/>
          <w:szCs w:val="24"/>
        </w:rPr>
      </w:pPr>
      <w:r>
        <w:rPr>
          <w:sz w:val="24"/>
          <w:szCs w:val="24"/>
        </w:rPr>
      </w:r>
    </w:p>
    <w:p>
      <w:pPr>
        <w:pStyle w:val="normal1"/>
        <w:numPr>
          <w:ilvl w:val="0"/>
          <w:numId w:val="3"/>
        </w:numPr>
        <w:ind w:hanging="437" w:start="1134"/>
        <w:jc w:val="both"/>
        <w:rPr>
          <w:sz w:val="24"/>
          <w:szCs w:val="24"/>
        </w:rPr>
      </w:pPr>
      <w:r>
        <w:rPr>
          <w:sz w:val="24"/>
          <w:szCs w:val="24"/>
        </w:rPr>
        <w:t>Clôture immédiate du compte nominatif sur le logiciel médical métier du cabinet.</w:t>
      </w:r>
    </w:p>
    <w:p>
      <w:pPr>
        <w:pStyle w:val="normal1"/>
        <w:ind w:hanging="0" w:start="720"/>
        <w:jc w:val="both"/>
        <w:rPr>
          <w:sz w:val="24"/>
          <w:szCs w:val="24"/>
        </w:rPr>
      </w:pPr>
      <w:r>
        <w:rPr>
          <w:sz w:val="24"/>
          <w:szCs w:val="24"/>
        </w:rPr>
      </w:r>
    </w:p>
    <w:p>
      <w:pPr>
        <w:pStyle w:val="normal1"/>
        <w:numPr>
          <w:ilvl w:val="0"/>
          <w:numId w:val="3"/>
        </w:numPr>
        <w:ind w:hanging="437" w:start="1134"/>
        <w:jc w:val="both"/>
        <w:rPr>
          <w:sz w:val="24"/>
          <w:szCs w:val="24"/>
        </w:rPr>
      </w:pPr>
      <w:r>
        <w:rPr>
          <w:sz w:val="24"/>
          <w:szCs w:val="24"/>
        </w:rPr>
        <w:t>Révocation complète des accès de messagerie cryptée (HIN Mail, profils de messagerie).</w:t>
      </w:r>
    </w:p>
    <w:p>
      <w:pPr>
        <w:pStyle w:val="normal1"/>
        <w:ind w:hanging="0" w:start="720"/>
        <w:jc w:val="both"/>
        <w:rPr>
          <w:sz w:val="24"/>
          <w:szCs w:val="24"/>
        </w:rPr>
      </w:pPr>
      <w:r>
        <w:rPr>
          <w:sz w:val="24"/>
          <w:szCs w:val="24"/>
        </w:rPr>
      </w:r>
    </w:p>
    <w:p>
      <w:pPr>
        <w:pStyle w:val="normal1"/>
        <w:numPr>
          <w:ilvl w:val="0"/>
          <w:numId w:val="3"/>
        </w:numPr>
        <w:ind w:hanging="437" w:start="1134"/>
        <w:jc w:val="both"/>
        <w:rPr>
          <w:sz w:val="24"/>
          <w:szCs w:val="24"/>
        </w:rPr>
      </w:pPr>
      <w:r>
        <w:rPr>
          <w:sz w:val="24"/>
          <w:szCs w:val="24"/>
        </w:rPr>
        <w:t>Suppression des jetons d'accès et des droits de partage sur les répertoires Cloud sécurisés du cabinet.</w:t>
      </w:r>
    </w:p>
    <w:p>
      <w:pPr>
        <w:pStyle w:val="normal1"/>
        <w:ind w:hanging="0" w:start="720"/>
        <w:jc w:val="both"/>
        <w:rPr>
          <w:sz w:val="24"/>
          <w:szCs w:val="24"/>
        </w:rPr>
      </w:pPr>
      <w:r>
        <w:rPr>
          <w:sz w:val="24"/>
          <w:szCs w:val="24"/>
        </w:rPr>
      </w:r>
    </w:p>
    <w:p>
      <w:pPr>
        <w:pStyle w:val="normal1"/>
        <w:numPr>
          <w:ilvl w:val="0"/>
          <w:numId w:val="3"/>
        </w:numPr>
        <w:ind w:hanging="437" w:start="1134"/>
        <w:jc w:val="both"/>
        <w:rPr>
          <w:sz w:val="24"/>
          <w:szCs w:val="24"/>
        </w:rPr>
      </w:pPr>
      <w:r>
        <w:rPr>
          <w:sz w:val="24"/>
          <w:szCs w:val="24"/>
        </w:rPr>
        <w:t>Restitution immédiate des terminaux physiques (ordinateurs, tablettes) et modification des codes d'accès physiques si nécessaire.</w:t>
      </w:r>
    </w:p>
    <w:p>
      <w:pPr>
        <w:pStyle w:val="normal1"/>
        <w:rPr/>
      </w:pPr>
      <w:r>
        <w:rPr/>
      </w:r>
    </w:p>
    <w:p>
      <w:pPr>
        <w:pStyle w:val="normal1"/>
        <w:jc w:val="both"/>
        <w:rPr>
          <w:sz w:val="24"/>
          <w:szCs w:val="24"/>
        </w:rPr>
      </w:pPr>
      <w:r>
        <w:rPr>
          <w:sz w:val="24"/>
          <w:szCs w:val="24"/>
        </w:rPr>
      </w:r>
    </w:p>
    <w:sectPr>
      <w:footerReference w:type="even" r:id="rId2"/>
      <w:footerReference w:type="default" r:id="rId3"/>
      <w:type w:val="nextPage"/>
      <w:pgSz w:w="11906" w:h="16838"/>
      <w:pgMar w:left="1417" w:right="1417" w:gutter="0" w:header="0" w:top="1417" w:footer="1417" w:bottom="199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Google Sans">
    <w:altName w:val="sans-serif"/>
    <w:charset w:val="00" w:characterSet="windows-1252"/>
    <w:family w:val="swiss"/>
    <w:pitch w:val="variable"/>
  </w:font>
  <w:font w:name="Wingdings">
    <w:charset w:val="02"/>
    <w:family w:val="auto"/>
    <w:pitch w:val="variable"/>
    <w:embedRegular r:id="rId1" w:fontKey="{01014A78-CABC-4EF0-12AC-5CD89AEFDE01}"/>
  </w:font>
  <w:font w:name="Wingdings 2">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bookmarkStart w:id="4" w:name="PageNumWizard_FOOTER_Default_Page_Style2"/>
    <w:r>
      <w:rPr/>
      <w:fldChar w:fldCharType="begin"/>
    </w:r>
    <w:r>
      <w:rPr/>
      <w:instrText xml:space="preserve"> PAGE </w:instrText>
    </w:r>
    <w:r>
      <w:rPr/>
      <w:fldChar w:fldCharType="separate"/>
    </w:r>
    <w:r>
      <w:rPr/>
      <w:t>2</w:t>
    </w:r>
    <w:r>
      <w:rPr/>
      <w:fldChar w:fldCharType="end"/>
    </w:r>
    <w:bookmarkEnd w:id="4"/>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bookmarkStart w:id="5" w:name="PageNumWizard_FOOTER_Default_Page_Style1"/>
    <w:r>
      <w:rPr/>
      <w:fldChar w:fldCharType="begin"/>
    </w:r>
    <w:r>
      <w:rPr/>
      <w:instrText xml:space="preserve"> PAGE </w:instrText>
    </w:r>
    <w:r>
      <w:rPr/>
      <w:fldChar w:fldCharType="separate"/>
    </w:r>
    <w:r>
      <w:rPr/>
      <w:t>3</w:t>
    </w:r>
    <w:r>
      <w:rPr/>
      <w:fldChar w:fldCharType="end"/>
    </w:r>
    <w:bookmarkEnd w:id="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2">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3">
    <w:lvl w:ilvl="0">
      <w:start w:val="1"/>
      <w:numFmt w:val="decimal"/>
      <w:lvlText w:val="%1."/>
      <w:lvlJc w:val="start"/>
      <w:pPr>
        <w:tabs>
          <w:tab w:val="num" w:pos="0"/>
        </w:tabs>
        <w:ind w:start="720" w:hanging="360"/>
      </w:pPr>
      <w:rPr>
        <w:u w:val="none"/>
      </w:rPr>
    </w:lvl>
    <w:lvl w:ilvl="1">
      <w:start w:val="1"/>
      <w:numFmt w:val="lowerLetter"/>
      <w:lvlText w:val="%2."/>
      <w:lvlJc w:val="start"/>
      <w:pPr>
        <w:tabs>
          <w:tab w:val="num" w:pos="0"/>
        </w:tabs>
        <w:ind w:start="1440" w:hanging="360"/>
      </w:pPr>
      <w:rPr>
        <w:u w:val="none"/>
      </w:rPr>
    </w:lvl>
    <w:lvl w:ilvl="2">
      <w:start w:val="1"/>
      <w:numFmt w:val="lowerRoman"/>
      <w:lvlText w:val="%3."/>
      <w:lvlJc w:val="end"/>
      <w:pPr>
        <w:tabs>
          <w:tab w:val="num" w:pos="0"/>
        </w:tabs>
        <w:ind w:start="2160" w:hanging="360"/>
      </w:pPr>
      <w:rPr>
        <w:u w:val="none"/>
      </w:rPr>
    </w:lvl>
    <w:lvl w:ilvl="3">
      <w:start w:val="1"/>
      <w:numFmt w:val="decimal"/>
      <w:lvlText w:val="%4."/>
      <w:lvlJc w:val="start"/>
      <w:pPr>
        <w:tabs>
          <w:tab w:val="num" w:pos="0"/>
        </w:tabs>
        <w:ind w:start="2880" w:hanging="360"/>
      </w:pPr>
      <w:rPr>
        <w:u w:val="none"/>
      </w:rPr>
    </w:lvl>
    <w:lvl w:ilvl="4">
      <w:start w:val="1"/>
      <w:numFmt w:val="lowerLetter"/>
      <w:lvlText w:val="%5."/>
      <w:lvlJc w:val="start"/>
      <w:pPr>
        <w:tabs>
          <w:tab w:val="num" w:pos="0"/>
        </w:tabs>
        <w:ind w:start="3600" w:hanging="360"/>
      </w:pPr>
      <w:rPr>
        <w:u w:val="none"/>
      </w:rPr>
    </w:lvl>
    <w:lvl w:ilvl="5">
      <w:start w:val="1"/>
      <w:numFmt w:val="lowerRoman"/>
      <w:lvlText w:val="%6."/>
      <w:lvlJc w:val="end"/>
      <w:pPr>
        <w:tabs>
          <w:tab w:val="num" w:pos="0"/>
        </w:tabs>
        <w:ind w:start="4320" w:hanging="360"/>
      </w:pPr>
      <w:rPr>
        <w:u w:val="none"/>
      </w:rPr>
    </w:lvl>
    <w:lvl w:ilvl="6">
      <w:start w:val="1"/>
      <w:numFmt w:val="decimal"/>
      <w:lvlText w:val="%7."/>
      <w:lvlJc w:val="start"/>
      <w:pPr>
        <w:tabs>
          <w:tab w:val="num" w:pos="0"/>
        </w:tabs>
        <w:ind w:start="5040" w:hanging="360"/>
      </w:pPr>
      <w:rPr>
        <w:u w:val="none"/>
      </w:rPr>
    </w:lvl>
    <w:lvl w:ilvl="7">
      <w:start w:val="1"/>
      <w:numFmt w:val="lowerLetter"/>
      <w:lvlText w:val="%8."/>
      <w:lvlJc w:val="start"/>
      <w:pPr>
        <w:tabs>
          <w:tab w:val="num" w:pos="0"/>
        </w:tabs>
        <w:ind w:start="5760" w:hanging="360"/>
      </w:pPr>
      <w:rPr>
        <w:u w:val="none"/>
      </w:rPr>
    </w:lvl>
    <w:lvl w:ilvl="8">
      <w:start w:val="1"/>
      <w:numFmt w:val="lowerRoman"/>
      <w:lvlText w:val="%9."/>
      <w:lvlJc w:val="end"/>
      <w:pPr>
        <w:tabs>
          <w:tab w:val="num" w:pos="0"/>
        </w:tabs>
        <w:ind w:start="6480" w:hanging="360"/>
      </w:pPr>
      <w:rPr>
        <w:u w:val="none"/>
      </w:rPr>
    </w:lvl>
  </w:abstractNum>
  <w:abstractNum w:abstractNumId="4">
    <w:lvl w:ilvl="0">
      <w:start w:val="1"/>
      <w:numFmt w:val="bullet"/>
      <w:lvlText w:val=""/>
      <w:lvlJc w:val="start"/>
      <w:pPr>
        <w:tabs>
          <w:tab w:val="num" w:pos="0"/>
        </w:tabs>
        <w:ind w:start="720" w:hanging="360"/>
      </w:pPr>
      <w:rPr>
        <w:rFonts w:ascii="Wingdings" w:hAnsi="Wingdings" w:cs="Wingdings" w:hint="default"/>
        <w:u w:val="none"/>
      </w:rPr>
    </w:lvl>
    <w:lvl w:ilvl="1">
      <w:start w:val="1"/>
      <w:numFmt w:val="bullet"/>
      <w:lvlText w:val=""/>
      <w:lvlJc w:val="start"/>
      <w:pPr>
        <w:tabs>
          <w:tab w:val="num" w:pos="0"/>
        </w:tabs>
        <w:ind w:start="1440" w:hanging="360"/>
      </w:pPr>
      <w:rPr>
        <w:rFonts w:ascii="Wingdings 2" w:hAnsi="Wingdings 2" w:cs="Wingdings 2" w:hint="default"/>
        <w:u w:val="none"/>
      </w:rPr>
    </w:lvl>
    <w:lvl w:ilvl="2">
      <w:start w:val="1"/>
      <w:numFmt w:val="bullet"/>
      <w:lvlText w:val="■"/>
      <w:lvlJc w:val="start"/>
      <w:pPr>
        <w:tabs>
          <w:tab w:val="num" w:pos="0"/>
        </w:tabs>
        <w:ind w:start="2160" w:hanging="360"/>
      </w:pPr>
      <w:rPr>
        <w:rFonts w:ascii="OpenSymbol" w:hAnsi="OpenSymbol" w:cs="OpenSymbol" w:hint="default"/>
        <w:u w:val="none"/>
      </w:rPr>
    </w:lvl>
    <w:lvl w:ilvl="3">
      <w:start w:val="1"/>
      <w:numFmt w:val="bullet"/>
      <w:lvlText w:val=""/>
      <w:lvlJc w:val="start"/>
      <w:pPr>
        <w:tabs>
          <w:tab w:val="num" w:pos="0"/>
        </w:tabs>
        <w:ind w:start="2880" w:hanging="360"/>
      </w:pPr>
      <w:rPr>
        <w:rFonts w:ascii="Wingdings" w:hAnsi="Wingdings" w:cs="Wingdings" w:hint="default"/>
        <w:u w:val="none"/>
      </w:rPr>
    </w:lvl>
    <w:lvl w:ilvl="4">
      <w:start w:val="1"/>
      <w:numFmt w:val="bullet"/>
      <w:lvlText w:val=""/>
      <w:lvlJc w:val="start"/>
      <w:pPr>
        <w:tabs>
          <w:tab w:val="num" w:pos="0"/>
        </w:tabs>
        <w:ind w:start="3600" w:hanging="360"/>
      </w:pPr>
      <w:rPr>
        <w:rFonts w:ascii="Wingdings 2" w:hAnsi="Wingdings 2" w:cs="Wingdings 2" w:hint="default"/>
        <w:u w:val="none"/>
      </w:rPr>
    </w:lvl>
    <w:lvl w:ilvl="5">
      <w:start w:val="1"/>
      <w:numFmt w:val="bullet"/>
      <w:lvlText w:val="■"/>
      <w:lvlJc w:val="start"/>
      <w:pPr>
        <w:tabs>
          <w:tab w:val="num" w:pos="0"/>
        </w:tabs>
        <w:ind w:start="4320" w:hanging="360"/>
      </w:pPr>
      <w:rPr>
        <w:rFonts w:ascii="OpenSymbol" w:hAnsi="OpenSymbol" w:cs="OpenSymbol" w:hint="default"/>
        <w:u w:val="none"/>
      </w:rPr>
    </w:lvl>
    <w:lvl w:ilvl="6">
      <w:start w:val="1"/>
      <w:numFmt w:val="bullet"/>
      <w:lvlText w:val=""/>
      <w:lvlJc w:val="start"/>
      <w:pPr>
        <w:tabs>
          <w:tab w:val="num" w:pos="0"/>
        </w:tabs>
        <w:ind w:start="5040" w:hanging="360"/>
      </w:pPr>
      <w:rPr>
        <w:rFonts w:ascii="Wingdings" w:hAnsi="Wingdings" w:cs="Wingdings" w:hint="default"/>
        <w:u w:val="none"/>
      </w:rPr>
    </w:lvl>
    <w:lvl w:ilvl="7">
      <w:start w:val="1"/>
      <w:numFmt w:val="bullet"/>
      <w:lvlText w:val=""/>
      <w:lvlJc w:val="start"/>
      <w:pPr>
        <w:tabs>
          <w:tab w:val="num" w:pos="0"/>
        </w:tabs>
        <w:ind w:start="5760" w:hanging="360"/>
      </w:pPr>
      <w:rPr>
        <w:rFonts w:ascii="Wingdings 2" w:hAnsi="Wingdings 2" w:cs="Wingdings 2" w:hint="default"/>
        <w:u w:val="none"/>
      </w:rPr>
    </w:lvl>
    <w:lvl w:ilvl="8">
      <w:start w:val="1"/>
      <w:numFmt w:val="bullet"/>
      <w:lvlText w:val="■"/>
      <w:lvlJc w:val="start"/>
      <w:pPr>
        <w:tabs>
          <w:tab w:val="num" w:pos="0"/>
        </w:tabs>
        <w:ind w:start="6480" w:hanging="360"/>
      </w:pPr>
      <w:rPr>
        <w:rFonts w:ascii="OpenSymbol" w:hAnsi="OpenSymbol" w:cs="OpenSymbol" w:hint="default"/>
        <w:u w:val="none"/>
      </w:rPr>
    </w:lvl>
  </w:abstractNum>
  <w:abstractNum w:abstractNumId="5">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90"/>
  <w:embedTrueTypeFonts/>
  <w:defaultTabStop w:val="720"/>
  <w:autoHyphenation w:val="true"/>
  <w:hyphenationZone w:val="0"/>
  <w:evenAndOddHeaders/>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star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bCs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iCs/>
      <w:color w:val="666666"/>
      <w:sz w:val="22"/>
      <w:szCs w:val="22"/>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1" w:default="1">
    <w:name w:val="normal1"/>
    <w:qFormat/>
    <w:pPr>
      <w:widowControl/>
      <w:suppressAutoHyphens w:val="true"/>
      <w:bidi w:val="0"/>
      <w:spacing w:lineRule="auto" w:line="276" w:before="0" w:after="0"/>
      <w:jc w:val="star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paragraph" w:styleId="HeaderandFooter">
    <w:name w:val="Header and Footer"/>
    <w:basedOn w:val="Normal"/>
    <w:qFormat/>
    <w:pPr>
      <w:suppressLineNumbers/>
      <w:tabs>
        <w:tab w:val="clear" w:pos="720"/>
        <w:tab w:val="center" w:pos="4536" w:leader="none"/>
        <w:tab w:val="right" w:pos="9072" w:leader="none"/>
      </w:tabs>
    </w:pPr>
    <w:rPr/>
  </w:style>
  <w:style w:type="paragraph" w:styleId="Footer">
    <w:name w:val="footer"/>
    <w:basedOn w:val="HeaderandFooter"/>
    <w:pPr>
      <w:suppressLineNumbers/>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64</TotalTime>
  <Application>LibreOffice/26.2.1.2$Windows_X86_64 LibreOffice_project/620$Build-2</Application>
  <AppVersion>15.0000</AppVersion>
  <Pages>3</Pages>
  <Words>519</Words>
  <Characters>2988</Characters>
  <CharactersWithSpaces>3474</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2026-07-01T13:20:26Z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